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800"/>
        <w:jc w:val="center"/>
      </w:pPr>
      <w:r>
        <w:rPr>
          <w:rFonts w:ascii="Arial" w:cs="Arial" w:eastAsia="Arial" w:hAnsi="Arial"/>
          <w:b/>
          <w:bCs/>
          <w:color w:val="1F3864"/>
          <w:sz w:val="44"/>
          <w:szCs w:val="44"/>
        </w:rPr>
        <w:t xml:space="preserve">GOD’S MYSTERY ROOM</w:t>
      </w:r>
    </w:p>
    <w:p>
      <w:pPr>
        <w:spacing w:after="120"/>
        <w:jc w:val="center"/>
      </w:pPr>
      <w:r>
        <w:rPr>
          <w:rFonts w:ascii="Arial" w:cs="Arial" w:eastAsia="Arial" w:hAnsi="Arial"/>
          <w:color w:val="2E5496"/>
          <w:sz w:val="28"/>
          <w:szCs w:val="28"/>
        </w:rPr>
        <w:t xml:space="preserve">Book One</w:t>
      </w:r>
    </w:p>
    <w:p>
      <w:pPr>
        <w:spacing w:after="500"/>
        <w:jc w:val="center"/>
      </w:pPr>
      <w:r>
        <w:rPr>
          <w:rFonts w:ascii="Arial" w:cs="Arial" w:eastAsia="Arial" w:hAnsi="Arial"/>
          <w:b/>
          <w:bCs/>
          <w:color w:val="1F3864"/>
          <w:sz w:val="32"/>
          <w:szCs w:val="32"/>
        </w:rPr>
        <w:t xml:space="preserve">Appendices A to E</w:t>
      </w:r>
    </w:p>
    <w:p>
      <w:pPr>
        <w:spacing w:after="80"/>
        <w:jc w:val="center"/>
      </w:pPr>
      <w:r>
        <w:rPr>
          <w:rFonts w:ascii="Arial" w:cs="Arial" w:eastAsia="Arial" w:hAnsi="Arial"/>
          <w:sz w:val="24"/>
          <w:szCs w:val="24"/>
        </w:rPr>
        <w:t xml:space="preserve">Vijay Shankar Sharma</w:t>
      </w:r>
    </w:p>
    <w:p>
      <w:pPr>
        <w:spacing w:after="500"/>
        <w:jc w:val="center"/>
      </w:pPr>
      <w:r>
        <w:rPr>
          <w:rFonts w:ascii="Arial" w:cs="Arial" w:eastAsia="Arial" w:hAnsi="Arial"/>
          <w:color w:val="2E5496"/>
          <w:sz w:val="21"/>
          <w:szCs w:val="21"/>
        </w:rPr>
        <w:t xml:space="preserve">Available at godsmysteryroom.com and vijayshankarsharma.com/gods-mystery-room</w:t>
      </w:r>
    </w:p>
    <w:p>
      <w:pPr>
        <w:spacing w:after="140" w:line="290"/>
        <w:jc w:val="both"/>
      </w:pPr>
      <w:r>
        <w:rPr>
          <w:rFonts w:ascii="Arial" w:cs="Arial" w:eastAsia="Arial" w:hAnsi="Arial"/>
          <w:sz w:val="21"/>
          <w:szCs w:val="21"/>
        </w:rPr>
        <w:t xml:space="preserve">These appendices accompany the novel. The characters in the book never cite a paper. Every result below comes from my own papers, which are free on Zenodo under my ORCID, 0009-0001-9622-6121, and the code that reproduces them is public at github.com/vijayshankarsharma/big-flare-up-theory.</w:t>
      </w:r>
    </w:p>
    <w:p>
      <w:pPr>
        <w:spacing w:after="100" w:before="300"/>
      </w:pPr>
      <w:r>
        <w:rPr>
          <w:rFonts w:ascii="Arial" w:cs="Arial" w:eastAsia="Arial" w:hAnsi="Arial"/>
          <w:b/>
          <w:bCs/>
          <w:color w:val="1F3864"/>
          <w:sz w:val="24"/>
          <w:szCs w:val="24"/>
        </w:rPr>
        <w:t xml:space="preserve">Contents</w:t>
      </w:r>
    </w:p>
    <w:p>
      <w:pPr>
        <w:spacing w:after="60"/>
      </w:pPr>
      <w:r>
        <w:rPr>
          <w:rFonts w:ascii="Arial" w:cs="Arial" w:eastAsia="Arial" w:hAnsi="Arial"/>
          <w:sz w:val="21"/>
          <w:szCs w:val="21"/>
        </w:rPr>
        <w:t xml:space="preserve">Appendix A: Cross-Sector Validation of the Spaticle field and Its Density</w:t>
      </w:r>
    </w:p>
    <w:p>
      <w:pPr>
        <w:spacing w:after="60"/>
      </w:pPr>
      <w:r>
        <w:rPr>
          <w:rFonts w:ascii="Arial" w:cs="Arial" w:eastAsia="Arial" w:hAnsi="Arial"/>
          <w:sz w:val="21"/>
          <w:szCs w:val="21"/>
        </w:rPr>
        <w:t xml:space="preserve">Appendix B: Applications and Derived Results of the Spaticle field</w:t>
      </w:r>
    </w:p>
    <w:p>
      <w:pPr>
        <w:spacing w:after="60"/>
      </w:pPr>
      <w:r>
        <w:rPr>
          <w:rFonts w:ascii="Arial" w:cs="Arial" w:eastAsia="Arial" w:hAnsi="Arial"/>
          <w:sz w:val="21"/>
          <w:szCs w:val="21"/>
        </w:rPr>
        <w:t xml:space="preserve">Appendix C: Mathematical and Non-Mathematical Predictions</w:t>
      </w:r>
    </w:p>
    <w:p>
      <w:pPr>
        <w:spacing w:after="60"/>
      </w:pPr>
      <w:r>
        <w:rPr>
          <w:rFonts w:ascii="Arial" w:cs="Arial" w:eastAsia="Arial" w:hAnsi="Arial"/>
          <w:sz w:val="21"/>
          <w:szCs w:val="21"/>
        </w:rPr>
        <w:t xml:space="preserve">Appendix D: Resolutions of Standard Model and ΛCDM Tensions</w:t>
      </w:r>
    </w:p>
    <w:p>
      <w:pPr>
        <w:spacing w:after="60"/>
      </w:pPr>
      <w:r>
        <w:rPr>
          <w:rFonts w:ascii="Arial" w:cs="Arial" w:eastAsia="Arial" w:hAnsi="Arial"/>
          <w:sz w:val="21"/>
          <w:szCs w:val="21"/>
        </w:rPr>
        <w:t xml:space="preserve">Appendix E: Claims on Consciousness, Life and Spirit</w:t>
      </w:r>
    </w:p>
    <w:p>
      <w:pPr>
        <w:pStyle w:val="Heading1"/>
        <w:pageBreakBefore/>
        <w:spacing w:after="200" w:before="0"/>
      </w:pPr>
      <w:r>
        <w:rPr>
          <w:rFonts w:ascii="Arial" w:cs="Arial" w:eastAsia="Arial" w:hAnsi="Arial"/>
          <w:b/>
          <w:bCs/>
          <w:color w:val="1F3864"/>
          <w:sz w:val="30"/>
          <w:szCs w:val="30"/>
        </w:rPr>
        <w:t xml:space="preserve">Appendix A: Cross-Sector Validation of the Spaticle field and Its Density</w:t>
      </w:r>
    </w:p>
    <w:p>
      <w:pPr>
        <w:spacing w:after="140" w:line="290"/>
        <w:jc w:val="both"/>
      </w:pPr>
      <w:r>
        <w:rPr>
          <w:rFonts w:ascii="Arial" w:cs="Arial" w:eastAsia="Arial" w:hAnsi="Arial"/>
          <w:sz w:val="21"/>
          <w:szCs w:val="21"/>
        </w:rPr>
        <w:t xml:space="preserve">This appendix is mine, not the novel’s. The characters in this book never cite a paper, because a novel is no place for footnotes in dialogue. The work they read is my own, and this is where it stops hiding.</w:t>
      </w:r>
    </w:p>
    <w:p>
      <w:pPr>
        <w:spacing w:after="140" w:line="290"/>
        <w:jc w:val="both"/>
      </w:pPr>
      <w:r>
        <w:rPr>
          <w:rFonts w:ascii="Arial" w:cs="Arial" w:eastAsia="Arial" w:hAnsi="Arial"/>
          <w:sz w:val="21"/>
          <w:szCs w:val="21"/>
        </w:rPr>
        <w:t xml:space="preserve">The table that follows sets out, sector by sector, where the density of the physical matter substrate that I name the Spaticle field appears in physics, what it is used to derive or validate in each sector, and which of my Big Flare-Up Theory (BFUT) papers carries the derivation. Ten sectors, one density, no free parameters tuned per sector.</w:t>
      </w:r>
    </w:p>
    <w:p>
      <w:pPr>
        <w:spacing w:after="140" w:line="290"/>
        <w:jc w:val="both"/>
      </w:pPr>
      <w:r>
        <w:rPr>
          <w:rFonts w:ascii="Arial" w:cs="Arial" w:eastAsia="Arial" w:hAnsi="Arial"/>
          <w:sz w:val="21"/>
          <w:szCs w:val="21"/>
        </w:rPr>
        <w:t xml:space="preserve">Read it as a ledger. Some entries are quantitative results you can check against published measurements tonight. Some are structural results that follow from the framework. None of them asks to be believed on my word.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1700"/>
        <w:gridCol w:w="2300"/>
        <w:gridCol w:w="3500"/>
        <w:gridCol w:w="1538"/>
      </w:tblGrid>
      <w:tr>
        <w:trPr>
          <w:cantSplit/>
          <w:tblHeader/>
        </w:trPr>
        <w:tc>
          <w:tcPr>
            <w:tcW w:type="dxa" w:w="6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S. No.</w:t>
            </w:r>
          </w:p>
        </w:tc>
        <w:tc>
          <w:tcPr>
            <w:tcW w:type="dxa" w:w="17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Physical sector</w:t>
            </w:r>
          </w:p>
        </w:tc>
        <w:tc>
          <w:tcPr>
            <w:tcW w:type="dxa" w:w="23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Spaticle field quantities used or derived</w:t>
            </w:r>
          </w:p>
        </w:tc>
        <w:tc>
          <w:tcPr>
            <w:tcW w:type="dxa" w:w="35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Validation / physical result</w:t>
            </w:r>
          </w:p>
        </w:tc>
        <w:tc>
          <w:tcPr>
            <w:tcW w:type="dxa" w:w="1538"/>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BFUT papers</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w:t>
            </w:r>
          </w:p>
        </w:tc>
        <w:tc>
          <w:tcPr>
            <w:tcW w:type="dxa" w:w="17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Cosmology and large-scale structure</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ρₛ; substrate energy density uₛ = ρₛc²; gravitational domain scale derived from ρₛ</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Cosmological vacuum-energy relationship; finite substrate gravitational domain; large-scale structure and related cosmological consequences addressed through the BFUT substrate framework.</w:t>
            </w:r>
          </w:p>
        </w:tc>
        <w:tc>
          <w:tcPr>
            <w:tcW w:type="dxa" w:w="1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P14, P18, P23, P25, P26,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w:t>
            </w:r>
          </w:p>
        </w:tc>
        <w:tc>
          <w:tcPr>
            <w:tcW w:type="dxa" w:w="17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Gravitation and gravitational field</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ρₛ; carrier mass scale μₛ; Lₛ; acceleration scale aₛ; substrate deformation</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Covariant carrier equation, finite deformation-domain radius, dark matter effects equation (DME) gravitational response, and a unified gravitational description across quantum, classical, galactic, and rapid-transition regimes.</w:t>
            </w:r>
          </w:p>
        </w:tc>
        <w:tc>
          <w:tcPr>
            <w:tcW w:type="dxa" w:w="1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P17, P18, P25, 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w:t>
            </w:r>
          </w:p>
        </w:tc>
        <w:tc>
          <w:tcPr>
            <w:tcW w:type="dxa" w:w="17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Galactic dynamics and dark-matter effects</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ρₛ; aₛ = 1.208 × 10⁻¹⁰ m/s²; dark matter effects equation; deformation-domain radius (DDR)</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SPARC validation across 175 galaxies: 92.0% shape agreement, 98.8% flat classification, 14.3% non-flat classification, and median outer relative residual 0.096. The dark matter effects equation accounts for the observed extra gravitational support without introducing a dark-matter particle.</w:t>
            </w:r>
          </w:p>
        </w:tc>
        <w:tc>
          <w:tcPr>
            <w:tcW w:type="dxa" w:w="1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P25, P26,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w:t>
            </w:r>
          </w:p>
        </w:tc>
        <w:tc>
          <w:tcPr>
            <w:tcW w:type="dxa" w:w="17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Weak gravitational lensing</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ρₛ; aₛ; dark matter effects equation domain response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KiDS-1000 validation using the same dark matter effects equation relation and the same density-derived acceleration scale. The four stacked stellar-mass bins provide an independent weak-lensing test of the gravitational response.</w:t>
            </w:r>
          </w:p>
        </w:tc>
        <w:tc>
          <w:tcPr>
            <w:tcW w:type="dxa" w:w="1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P25, P27,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w:t>
            </w:r>
          </w:p>
        </w:tc>
        <w:tc>
          <w:tcPr>
            <w:tcW w:type="dxa" w:w="17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Particle physics and fundamental constants</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ρₛ; R₀; ℏ; mₑ; α; αₛ; sin²θW; mW; mZ; mH</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Condensation geometry gives the BFUT quantum scale and particle-mass chain. P19 derives coupling constants and W/Z masses, with the Higgs mass obtained from the stated particle relation. These quantities connect the substrate density to particle-scale physics.</w:t>
            </w:r>
          </w:p>
        </w:tc>
        <w:tc>
          <w:tcPr>
            <w:tcW w:type="dxa" w:w="1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P17, P19, P19A, P25,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w:t>
            </w:r>
          </w:p>
        </w:tc>
        <w:tc>
          <w:tcPr>
            <w:tcW w:type="dxa" w:w="17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 mechanics</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ρₛ; condensation structure; ℏ; particle mass relations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P19A connects the substrate-based particle structure with quantum phenomena including half-integer spin, the Born rule, wave-function collapse, and Higgs physics, within the unified quantum-gravity framework.</w:t>
            </w:r>
          </w:p>
        </w:tc>
        <w:tc>
          <w:tcPr>
            <w:tcW w:type="dxa" w:w="1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P19A, P25,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w:t>
            </w:r>
          </w:p>
        </w:tc>
        <w:tc>
          <w:tcPr>
            <w:tcW w:type="dxa" w:w="17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Atomic physics and matter stability</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ρₛ; ℏ; mₑ; α; Bohr radius a₀; binding energy</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Hydrogen ground-state and Bohr-radius results follow from BFUT-derived ℏ and mₑ. Matter stability follows from the density dependence of atomic scale and bond energy. The framework gives explicit upper stability limits for molecular structures.</w:t>
            </w:r>
          </w:p>
        </w:tc>
        <w:tc>
          <w:tcPr>
            <w:tcW w:type="dxa" w:w="1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P19, P25,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w:t>
            </w:r>
          </w:p>
        </w:tc>
        <w:tc>
          <w:tcPr>
            <w:tcW w:type="dxa" w:w="17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Light, photons, and gravitational-wave propagation</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ρₛ; substrate stiffness Kₛ; c</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Photon and gravitational-wave propagation arise from the same substrate propagation mechanism. The universal speed limit is derived mechanically as c = √(Kₛ/ρₛ), with an independent numerical reconstruction of c from the BFUT quantity chain.</w:t>
            </w:r>
          </w:p>
        </w:tc>
        <w:tc>
          <w:tcPr>
            <w:tcW w:type="dxa" w:w="1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P17, P18, P19, P23,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w:t>
            </w:r>
          </w:p>
        </w:tc>
        <w:tc>
          <w:tcPr>
            <w:tcW w:type="dxa" w:w="17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Time and relativity</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ρₛ; c; substrate propagation efficiency η; carrier response structure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Time is treated as accumulated substrate evolution. Kinematic and gravitational time dilation arise from the allocation of finite substrate propagation capability between spatial motion, internal evolution, and gravitational deformation.</w:t>
            </w:r>
          </w:p>
        </w:tc>
        <w:tc>
          <w:tcPr>
            <w:tcW w:type="dxa" w:w="1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P19, P22, 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w:t>
            </w:r>
          </w:p>
        </w:tc>
        <w:tc>
          <w:tcPr>
            <w:tcW w:type="dxa" w:w="17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Extreme gravity, singularity limits, and black holes</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ρₛ; substrate deformation and finite-density dynamics; gravitational-vortex structure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Physical substrate dynamics impose a finite-density causal bound and remove the need to interpret infinite density as a physical state. Black holes are treated as gravitational vortices, with the Universal Centrality Rule providing an observational structural test.</w:t>
            </w:r>
          </w:p>
        </w:tc>
        <w:tc>
          <w:tcPr>
            <w:tcW w:type="dxa" w:w="1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P6, P26, P28</w:t>
            </w:r>
          </w:p>
        </w:tc>
      </w:tr>
    </w:tbl>
    <w:p>
      <w:pPr>
        <w:spacing w:after="120"/>
      </w:pPr>
    </w:p>
    <w:p>
      <w:pPr>
        <w:pStyle w:val="Heading1"/>
        <w:pageBreakBefore/>
        <w:spacing w:after="200" w:before="0"/>
      </w:pPr>
      <w:r>
        <w:rPr>
          <w:rFonts w:ascii="Arial" w:cs="Arial" w:eastAsia="Arial" w:hAnsi="Arial"/>
          <w:b/>
          <w:bCs/>
          <w:color w:val="1F3864"/>
          <w:sz w:val="30"/>
          <w:szCs w:val="30"/>
        </w:rPr>
        <w:t xml:space="preserve">Appendix B: Applications and Derived Results of the Spaticle field</w:t>
      </w:r>
    </w:p>
    <w:p>
      <w:pPr>
        <w:spacing w:after="140" w:line="290"/>
        <w:jc w:val="both"/>
      </w:pPr>
      <w:r>
        <w:rPr>
          <w:rFonts w:ascii="Arial" w:cs="Arial" w:eastAsia="Arial" w:hAnsi="Arial"/>
          <w:sz w:val="21"/>
          <w:szCs w:val="21"/>
        </w:rPr>
        <w:t xml:space="preserve">One density, and everything below follows from it.</w:t>
      </w:r>
    </w:p>
    <w:p>
      <w:pPr>
        <w:spacing w:after="140" w:line="290"/>
        <w:jc w:val="both"/>
      </w:pPr>
      <w:r>
        <w:rPr>
          <w:rFonts w:ascii="Arial" w:cs="Arial" w:eastAsia="Arial" w:hAnsi="Arial"/>
          <w:sz w:val="21"/>
          <w:szCs w:val="21"/>
        </w:rPr>
        <w:t xml:space="preserve">This appendix lists one hundred and six separate applications, derived results, predictions and observational tests, each with a direct derivational or physical chain to the Spaticle field and its density. Intermediate calculations are in the papers named in the last column; only the endpoints are given here.</w:t>
      </w:r>
    </w:p>
    <w:p>
      <w:pPr>
        <w:spacing w:after="140" w:line="290"/>
        <w:jc w:val="both"/>
      </w:pPr>
      <w:r>
        <w:rPr>
          <w:rFonts w:ascii="Arial" w:cs="Arial" w:eastAsia="Arial" w:hAnsi="Arial"/>
          <w:sz w:val="21"/>
          <w:szCs w:val="21"/>
        </w:rPr>
        <w:t xml:space="preserve">I have not sorted them by how impressive they are. They are ordered by level, from cosmology down to the quantum postulates, because the order is the argument: each level is built from the one before it, and the same number runs through all of them.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2600"/>
        <w:gridCol w:w="4538"/>
        <w:gridCol w:w="1900"/>
      </w:tblGrid>
      <w:tr>
        <w:trPr>
          <w:cantSplit/>
          <w:tblHeader/>
        </w:trPr>
        <w:tc>
          <w:tcPr>
            <w:tcW w:type="dxa" w:w="6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SN</w:t>
            </w:r>
          </w:p>
        </w:tc>
        <w:tc>
          <w:tcPr>
            <w:tcW w:type="dxa" w:w="26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Application / Derived Result</w:t>
            </w:r>
          </w:p>
        </w:tc>
        <w:tc>
          <w:tcPr>
            <w:tcW w:type="dxa" w:w="4538"/>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Physical result or BFUT application</w:t>
            </w:r>
          </w:p>
        </w:tc>
        <w:tc>
          <w:tcPr>
            <w:tcW w:type="dxa" w:w="19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BFUT source</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Spaticle-field equilibrium density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Intrinsic substrate density ρₛ = 7.3 × 10⁻²⁷ kg/m³, obtained from the condensation framework and used as the common physical substrate parameter.</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P25;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Matter creation from the Spaticle field</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Matter condenses from the physical Spaticle field and remains embedded in it. This provides the substrate basis for the particle and matter structures developed throughout BFUT.</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P14; P16; P17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Propagation of forces and physical disturbances through the Spaticle field</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Forces and physical disturbances propagate through the Spaticle field. This supplies the common physical carrier underlying the electromagnetic, gravitational, weak, and strong interaction descriptions.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P14; P17; P18; 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Stable condensation equilibrium</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condensation functional produces a finite non-zero equilibrium condensation scale R₀ for stable matter structures.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Proton condensation structure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three-core condensation architecture produces the structural basis for proton formation.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3+e proton structure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stable 3+e organisation supplies the particle architecture used in the proton and electron formation chain.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P17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Electron mass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BFUT particle chain derives electron mass from the proton-scale condensation construction.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Matter-antimatter structure and annihilation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Matter and antimatter are treated as corresponding substrate condensation configurations, with annihilation arising from cancellation of opposing organised excitations and release of condensation energy.</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P16A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Antihydrogen structure and CERN comparison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BFUT antimatter construction gives a mirror configuration for antihydrogen and provides a framework for comparison with CERN antihydrogen measurements.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Stability filter for matter and antimatter</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stability filter identifies which condensation configurations can persist as stable matter or antimatter structures.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P16A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Emergence of the fundamental forces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Gravity, strong, electromagnetic, and weak interactions are derived as distinct physical disturbance or organisation channels associated with the substrate and 3+e matter structure.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Gravity as substrate deformation and restoring response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Gravitational attraction is described as the restoring response of the Spaticle field to matter-induced deformation.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P17; 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Covariant carrier-field equation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F1-cov provides the covariant substrate equation governing gravitational deformation and propagation.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Density-derived carrier scale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substrate density fixes the carrier scale μₛ and its associated propagation/screening scales.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 gravitational deformation domain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For source mass M, BFUT gives a finite deformation-domain radius R_d = [3M/(8πρₛ)]^(1/3).</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P22; 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Rotationally enlarged deformation domain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effective deformation domain incorporates the rotational correction defined by the BFUT carrier model.</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17</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Carrier relaxation length and timescale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carrier framework supplies finite response and relaxation scales for substrate deformation.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18</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Cosmological screening length</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density-derived carrier mass establishes a finite cosmological screening scale for the static carrier field.</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19</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gravitational acceleration scale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characteristic acceleration aₛ is derived from the substrate density, G, and c.</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20</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Finite-domain gravity across physical regimes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finite deformation-domain carrier is formulated for quantum, classical, galactic, and rapid-transition regimes, providing a common and testable gravitational description across those scales.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Dark Matter Effects interpretation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gravitational effect conventionally attributed to dark matter is represented in BFUT by organised or entrained Spaticle-field structure.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P25;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Dark Matter Effects equation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dark matter effects equation relation derives the additional rotational contribution from the baryonic distribution and the substrate-derived acceleration scale without modifying Newtonian gravity.</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P25;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SPARC rotation-curve validation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dark matter effects equation is applied to the 175-galaxy SPARC sample using the same substrate-derived acceleration scale and published baryonic inputs.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KiDS-1000 weak-lensing validation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dark matter effects equation is applied to the KiDS-1000 stacked weak-lensing mass bins using the same substrate-derived acceleration scale.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Additional galaxy-system tests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dark matter effects equation is tested against additional named systems, including low-dark-matter and ultra-diffuse systems in the observational programme.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Merger morphology and substrate entrainment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Merger systems are interpreted through the redistribution and entrainment of substrate-associated mass during interaction.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27</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Low-rotation systems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Systems with negligible organised rotation provide a regime in which the substrate contribution predicted by the rotational dark matter effects equation mechanism is correspondingly reduced.</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28</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Sunyaev-Zel’dovich effect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P10 gives a Spaticle-field interpretation of the SZ effect through interaction of propagating substrate modes with the thermal electron population.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P10;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29</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Lyman-alpha forest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P11 interprets the Lyman-alpha absorption forest through the interaction of propagating structures with the substrate and the absorption-percolation threshold.</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P11;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30</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Integrated Sachs-Wolfe effect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P12 attributes the ISW temperature contribution to variations in Spaticle-field density encountered by photons along their path.</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P12;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Weak-lensing S8 application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P13 connects the weak-lensing S8 result and suppressed late-time structure growth to the physical substrate and its domain dynamics.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P13;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CMB acoustic peaks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BFUT cosmological substrate framework models acoustic structure through ongoing shell processes in the physical substrate and reproduces CMB-like peak structure in the reported proof-of-principle treatment.</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P12;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BAO-like feature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same cosmological substrate treatment produces a BAO-like feature in the reported proof-of-principle simulation.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P12;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Fine-structure constant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fine-structure constant α is derived from the BFUT condensation and electromagnetic circulation structure.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Strong coupling constant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strong coupling αₛ is derived from the P16 condensation parameters and evaluated at the Z-boson mass scale.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Weak mixing angle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sin²θ_W is derived from the BFUT weak-sector energy and structural relations.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37</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W-boson mass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BFUT electroweak construction derives the W-boson mass from the substrate and condensation relations.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38</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Z-boson mass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Z-boson mass follows from the BFUT W-boson relation and weak mixing structure.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Higgs mass relation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Higgs mass is obtained from the BFUT relation m_H = √(m_t m_Z).</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 P19A;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Higgs as a collective substrate excitation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Higgs phenomenon is interpreted as a collective excitation of the physical substrate within the electroweak sector.</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Additional collective substrate resonances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 predicts five additional collective substrate excitation modes with specified energies and stability/accessibility conditions.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Quark-mass hierarchy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particle programme derives the quark-mass hierarchy from the condensation and circulation architecture.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 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Hydrogen Bohr radius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BFUT-derived particle and action quantities are used in the atomic relation for the hydrogen ground-state radius.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Hydrogen ground-state binding energy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BFUT atomic construction gives the hydrogen ground-state binding energy.</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Atomic stability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finite condensation structure and substrate density are connected to the persistence of atomic structure.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Molecular and chemical stability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 derives sensitivity of atomic and molecular structure to the substrate density, including a density threshold associated with disruption of chemical bonding.</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47</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Electron reference length</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electron reference length is an independently meaningful electromagnetic length scale used in the BFUT particle-sector construction and connected to the substrate-derived particle parameters.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 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48</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Reduced Planck constant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reduced Planck constant is derived from proton mass, proton charge radius, c, and the condensation minimum R₀: ħ = mₚ c rₚ/(πR₀).</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49</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Planck constant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Planck’s constant follows as h = 2πħ and supplies the action quantum used in BFUT quantum relations.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50</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Minimum circulation quantum</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minimum angular-momentum scale ħ/2 is connected to the 720° restoration topology of the matter condensation.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Compton wavelength</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Compton wavelength is expressed using the BFUT action scale and particle parameters.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 Broglie wavelength</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de Broglie wavelength is expressed using the BFUT action scale and particle momentum.</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Harmonic-oscillator energy levels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harmonic-oscillator spectrum is expressed using the BFUT-derived ħ and the corresponding quantum action scale.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Planck length</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Planck length is derived from the BFUT ħ together with G and c.</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Planck mass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Planck mass is derived from the BFUT ħ together with G and c.</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Planck time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Planck time is derived from the BFUT ħ together with G and c.</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57</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Vacuum energy density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equilibrium substrate rest-energy density is u_vac = ρₛc².</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58</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Schrödinger equation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time-dependent Schrödinger equation is derived as the non-relativistic limit of the covariant substrate carrier equation.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59</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Born rule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Born probability P(x)=│ψ(x)│² is given a physical substrate interpretation through deformation-energy density and measurement interaction.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60</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Heisenberg uncertainty principle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uncertainty scale is connected to the finite localisation and action scale of substrate condensations.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Half-integer spin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Half-integer spin is derived from the 720° restoration topology of the matter condensation.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Spin-statistics relation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distinction between embedded matter condensations and propagating substrate disturbances supplies the BFUT physical interpretation of fermionic and bosonic statistics.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Pauli exclusion principle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Pauli exclusion is explained through the impossibility of identical fermionic condensations occupying one complete circulation state.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Fermionic mass hierarchy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Fermionic mass structure is connected to organised circulation within the condensation architecture.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Gauge symmetry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U(1), SU(2), and SU(3) gauge structures are interpreted through local circulation invariance of substrate condensations.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 superposition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Superposition is given a physical substrate interpretation as distributed organised excitation before interaction resolves the state.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67</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Wave-function collapse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Wave-function collapse is interpreted as physical state resolution produced by interaction with matter in the substrate.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68</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Entanglement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Entanglement is interpreted through shared coherent substrate structure and correlated physical states.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69</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 tunnelling</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Tunnelling is represented through substrate condensation-boundary penetration, with the penetration scale determined by the BFUT action and barrier parameters.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70</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Decoherence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Decoherence is interpreted as loss of coherent substrate organisation through environmental interaction.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 measurement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Measurement is treated as physical interaction between a quantum excitation and detector matter, providing the mechanism for state resolution.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 gravity unification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 behaviour and gravitation are placed within one substrate framework through the common carrier field and physical substrate.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 gate evolution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Quantum-gate unitary evolution is expressed using the BFUT-derived action scale, linking phase accumulation to substrate action.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P24;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Quantum-gate minimum time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minimum controlled gate time is connected to the BFUT action scale and control-field energy.</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P24;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Quantum-computing substrate memory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P24 substrate-memory timescale is connected to the same substrate density that fixes the BFUT action scale.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P24;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Bell correlation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Bell correlation function is connected to the Born rule and BFUT spin topology in the quantum-computing treatment.</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77</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CHSH quantum bound</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BFUT quantum-computing treatment incorporates the quantum CHSH bound within its substrate interpretation of quantum correlations.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78</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Time as accumulated substrate evolution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Time is defined as accumulated evolution of physical states in the Spaticle substrate.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79</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Special-relativistic time dilation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Kinematic time dilation is derived from the finite propagation budget shared between spatial motion and internal evolution.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80</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Gravitational time dilation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Gravitational time dilation is derived from reduced local substrate propagation efficiency caused by gravitational deformation.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Unified time-dilation relation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Kinematic and gravitational effects are combined through the common propagation-budget framework.</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Length contraction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Length contraction is derived as a second consequence of the same propagation-budget constraint.</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Twin paradox</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twin paradox is resolved through the different substrate propagation histories of the two clocks.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Clock universality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All physical clocks slow by the same factor because physical clocks are substrate processes subject to the same propagation budget.</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Photon proper time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photon assigns its full propagation budget to spatial propagation, giving zero proper time in the BFUT formulation.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 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Arrow of time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direction of time is linked to irreversible outward substrate propagation and accumulated state change.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87</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Simultaneity and causality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 substrate propagation speed supplies the physical basis for causal ordering and simultaneity relations.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 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88</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Past and future asymmetry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substrate evolution framework provides a physical account of the distinction between completed and not-yet-completed state evolution.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89</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 time evolution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 time evolution is placed within the same physical substrate evolution that defines time macroscopically.</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 P19A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90</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Equivalence principles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weak, Einstein, and strong equivalence principles are examined within the BFUT substrate framework.</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Temporal singularity limit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 substrate propagation capacity supplies a temporal argument against physically reaching an infinite-density singularity.</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 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Universal speed limit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 is identified as the maximum rate at which the Spaticle substrate can reorganise and propagate a disturbance.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Speed of light from substrate stiffness and density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propagation speed is derived from c = √(K_s/ρₛ).</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Independent reconstruction of c</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speed of light is independently reconstructed from e, R₀, ε₀, mₚ, rₚ, and α through the BFUT relation.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 P23; P27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Massive-particle velocity deficit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massive condensation devotes part of its physical energy budget to internal structure, leaving less capacity for spatial propagation.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Equality of light and gravitational-wave speeds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Light and gravitational waves are disturbances of the same substrate and therefore share the same limiting propagation speed.</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97</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Singularity impossibility</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 substrate density and restoring dynamics prevent physical infinite density.</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98</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Finite-density causal bound</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causal bound ρ̄_max = 3c⁶/(4πG³M²) gives a finite mean-density limit for compact collapse.</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99</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 gravitational compression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substrate restoring mechanisms oppose unlimited gravitational compression.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 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100</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Black holes as finite gravitational vortices</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Black holes are represented as finite-density gravitational vortex structures without a physical infinite-density singularity.</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P6; P26; 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101</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Black-hole finite core and surrounding structure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BFUT black-hole model specifies a finite compressed core together with surrounding redistribution, coherence, and entrainment regions.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102</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Black-hole redistribution and entrainment</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Organised deformation is redistributed from the compressed core into the surrounding shell and deformation domain.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103</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Black-hole deformation domain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finite deformation-domain relation defines the outer extent of organised substrate deformation around a compact mass.</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P26; 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104</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Rotational sustenance of gravitational structure</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Sustained rotation is treated as the dynamical condition supporting organised gravitational-vortex structure and continued compression.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 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105</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Black-hole seed dissipation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substrate relaxation framework supplies a characteristic dissipation timescale for transient deformation.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106</w:t>
            </w:r>
          </w:p>
        </w:tc>
        <w:tc>
          <w:tcPr>
            <w:tcW w:type="dxa" w:w="2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Hawking-radiation interpretation</w:t>
            </w:r>
          </w:p>
        </w:tc>
        <w:tc>
          <w:tcPr>
            <w:tcW w:type="dxa" w:w="45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Within the finite-substrate black-hole structure, BFUT argues that Hawking radiation has no physical realisation.</w:t>
            </w:r>
          </w:p>
        </w:tc>
        <w:tc>
          <w:tcPr>
            <w:tcW w:type="dxa" w:w="19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P28</w:t>
            </w:r>
          </w:p>
        </w:tc>
      </w:tr>
    </w:tbl>
    <w:p>
      <w:pPr>
        <w:spacing w:after="120"/>
      </w:pPr>
    </w:p>
    <w:p>
      <w:pPr>
        <w:pStyle w:val="Heading1"/>
        <w:pageBreakBefore/>
        <w:spacing w:after="200" w:before="0"/>
      </w:pPr>
      <w:r>
        <w:rPr>
          <w:rFonts w:ascii="Arial" w:cs="Arial" w:eastAsia="Arial" w:hAnsi="Arial"/>
          <w:b/>
          <w:bCs/>
          <w:color w:val="1F3864"/>
          <w:sz w:val="30"/>
          <w:szCs w:val="30"/>
        </w:rPr>
        <w:t xml:space="preserve">Appendix C: Mathematical and Non-Mathematical Predictions</w:t>
      </w:r>
    </w:p>
    <w:p>
      <w:pPr>
        <w:spacing w:after="140" w:line="290"/>
        <w:jc w:val="both"/>
      </w:pPr>
      <w:r>
        <w:rPr>
          <w:rFonts w:ascii="Arial" w:cs="Arial" w:eastAsia="Arial" w:hAnsi="Arial"/>
          <w:sz w:val="21"/>
          <w:szCs w:val="21"/>
        </w:rPr>
        <w:t xml:space="preserve">A framework that explains what is already known has done half a job. The other half is telling you what you will find when you look somewhere no one has looked yet, in terms specific enough to be wrong.</w:t>
      </w:r>
    </w:p>
    <w:p>
      <w:pPr>
        <w:spacing w:after="140" w:line="290"/>
        <w:jc w:val="both"/>
      </w:pPr>
      <w:r>
        <w:rPr>
          <w:rFonts w:ascii="Arial" w:cs="Arial" w:eastAsia="Arial" w:hAnsi="Arial"/>
          <w:sz w:val="21"/>
          <w:szCs w:val="21"/>
        </w:rPr>
        <w:t xml:space="preserve">This appendix lists the predictions the framework makes, in two parts. The first are quantitative: an equation, a number, a measurable result. The second are structural: things that should be the case if the account is right, and should not be if it is not.</w:t>
      </w:r>
    </w:p>
    <w:p>
      <w:pPr>
        <w:spacing w:after="140" w:line="290"/>
        <w:jc w:val="both"/>
      </w:pPr>
      <w:r>
        <w:rPr>
          <w:rFonts w:ascii="Arial" w:cs="Arial" w:eastAsia="Arial" w:hAnsi="Arial"/>
          <w:sz w:val="21"/>
          <w:szCs w:val="21"/>
        </w:rPr>
        <w:t xml:space="preserve">Every one of them can fail. That is the point of publishing them.</w:t>
      </w:r>
    </w:p>
    <w:p>
      <w:pPr>
        <w:pStyle w:val="Heading2"/>
        <w:spacing w:after="140" w:before="260"/>
      </w:pPr>
      <w:r>
        <w:rPr>
          <w:rFonts w:ascii="Arial" w:cs="Arial" w:eastAsia="Arial" w:hAnsi="Arial"/>
          <w:b/>
          <w:bCs/>
          <w:color w:val="2E5496"/>
          <w:sz w:val="24"/>
          <w:szCs w:val="24"/>
        </w:rPr>
        <w:t xml:space="preserve">1. Mathematical Predictions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2300"/>
        <w:gridCol w:w="4938"/>
        <w:gridCol w:w="1800"/>
      </w:tblGrid>
      <w:tr>
        <w:trPr>
          <w:cantSplit/>
          <w:tblHeader/>
        </w:trPr>
        <w:tc>
          <w:tcPr>
            <w:tcW w:type="dxa" w:w="6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No.</w:t>
            </w:r>
          </w:p>
        </w:tc>
        <w:tc>
          <w:tcPr>
            <w:tcW w:type="dxa" w:w="23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Mathematical prediction</w:t>
            </w:r>
          </w:p>
        </w:tc>
        <w:tc>
          <w:tcPr>
            <w:tcW w:type="dxa" w:w="4938"/>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Equation / quantitative result</w:t>
            </w:r>
          </w:p>
        </w:tc>
        <w:tc>
          <w:tcPr>
            <w:tcW w:type="dxa" w:w="18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Source</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Condensation minimum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E(R)=A/R²+BR²+C+D/R; R₀=1.27348221</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Void-filling asymmetry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δ_d=2δ_u from the three-sphere geometry</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Void correction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A_void/6 as the geometric void correction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Electron/proton mass ratio</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mₑ=mₚ/(6π⁵)</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Reduced Planck constant</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ℏ=mₚcrₚ/(πR₀), with h=2πℏ</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Fine-structure constant</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α=e²/(4πε₀ℏc) within the BFUT derivation chain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R₀ cross-check</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R₀=4ε₀mₚc²rₚα/e²</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 internal consistency</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Independent c reconstruction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c²=e²R₀/(4ε₀mₚrₚα)</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P23/P19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Substrate stiffness</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Kₛ=ρₛc²</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Universal acceleration scale</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aₛ=c√(Gρₛ/3)</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 deformation-domain radius</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R_d=[3M/(8πρₛ)]^(1/3)</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Rotationally enlarged domain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R_eff=R_d(1+v_rot²/c²)^(1/3)</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13</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Dark matter effects equation rotation law</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v²=v_b²[1+aₛR/v_b²]^(1/2)</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P18/P25/P78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14</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Deep-regime baryonic Tully-Fisher law</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v⁴≈GMaₛ</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Dark matter effects equation low-acceleration limit</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15</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Mass-velocity scaling</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v∝M^(1/4) in the deep dark matter effects equation regime at fixed ρₛ</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 dark matter effects equation</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16</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Fixed BTFR coefficient</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v/M^(1/4)=[G c√(Gρₛ/3)]^(1/4)</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17</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Dark matter effects equation transition radius</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R_t=√(GM/aₛ) when aₛR/v_b²=1</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 dark matter effects equation</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18</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Dark matter effects equation acceleration asymptotes</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g_DME=√[g_b(g_b+aₛ)]; high-g: g≈g_b+aₛ/2; low-g: g≈√(aₛg_b)</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19</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Domain mass scaling</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R_d∝M^(1/3) at fixed ρₛ</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 DDR</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20</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DDR mean-density relation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Mean density inside R_d is 2ρₛ</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 DDR</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DDR boundary acceleration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g_d=GM/R_d²=GM^(1/3)(8πρₛ/3)^(2/3)</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 DDR</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Equilibrium carrier relaxation scale</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L_nat=λ_u/√(3ρₛ)=45.17 AU; τ_nat=L_nat/c=6.26 h</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with current ρₛ</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23</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Carrier inverse length</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μₛ²=3Gρₛ/c²</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24</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Cross-scale carrier identity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aₛL_s=c²/3, where L_s=1/μₛ</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25</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Spatial carrier attenuation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g/g_N=e^(−r/R_eff)(1+r/R_eff) for the settled exponential carrier component</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displayed potential</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26</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Newtonian-limit correction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(g−g_N)/g_N≈−½(r/R_eff)² for r≪R_eff</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 potential</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27</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Asymptotic attenuation slope</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 ln(g/g_N)/dr→−1/R_eff for r≫R_eff</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 potential</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28</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Carrier-component rotation profile</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v²=(GM/r)e^(−r/R_eff)(1+r/R_eff)</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P18 potential; carrier component only</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29</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Photon coherence threshold</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E_min=2.25 meV</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30</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Photon persistence above threshold</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L_persist=L_rlx(E/E_min)²</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Photon persistence below threshold</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L_persist=L_rlx(E/E_min)⁴</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Photon log-slope prediction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 ln L_persist/d ln E=2 above E_min and 4 below E_min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33</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 causal mean-density bound</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ρ̄_max=3c⁶/(4πG³M²)</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34</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Causal limiting radius</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R_max=GM/c²</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35</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Universal compactness relation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R_max/M=G/c²</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Derived from 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36</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Compact-object area scaling</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A∝M^(2/3), hence BFUT organised-deformation entropy scaling S∝M^(2/3)</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37</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Vacuum energy density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u_vac=ρₛc²</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P2/P14/P23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38</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Higgs mass relation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m_H=√(m_top m_Z)</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Strong-coupling geometric relation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α_s∝BR₀⁴/A</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Electromagnetic geometric invariant</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ω_c²R₀²/c²</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Periastron residual statistic</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R_peri=Σ(peri-window power)/Σ(off-peri power)</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test formulation</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Pulsar phase-window statistic</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T_PSR=ΣW_pR_i/√(ΣW_p²σ_i²)</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 test formulation</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43</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S8 rotational suppression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Proof-of-concept rotational collapse gives S8=0.7805 versus 0.832 radial, a 6.2% deficit</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P13</w:t>
            </w:r>
          </w:p>
        </w:tc>
      </w:tr>
    </w:tbl>
    <w:p>
      <w:pPr>
        <w:spacing w:after="120"/>
      </w:pPr>
    </w:p>
    <w:p>
      <w:pPr>
        <w:pStyle w:val="Heading2"/>
        <w:spacing w:after="140" w:before="260"/>
      </w:pPr>
      <w:r>
        <w:rPr>
          <w:rFonts w:ascii="Arial" w:cs="Arial" w:eastAsia="Arial" w:hAnsi="Arial"/>
          <w:b/>
          <w:bCs/>
          <w:color w:val="2E5496"/>
          <w:sz w:val="24"/>
          <w:szCs w:val="24"/>
        </w:rPr>
        <w:t xml:space="preserve">2. Non-Mathematical Predictions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2400"/>
        <w:gridCol w:w="4838"/>
        <w:gridCol w:w="1800"/>
      </w:tblGrid>
      <w:tr>
        <w:trPr>
          <w:cantSplit/>
          <w:tblHeader/>
        </w:trPr>
        <w:tc>
          <w:tcPr>
            <w:tcW w:type="dxa" w:w="6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No.</w:t>
            </w:r>
          </w:p>
        </w:tc>
        <w:tc>
          <w:tcPr>
            <w:tcW w:type="dxa" w:w="24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Non-mathematical prediction</w:t>
            </w:r>
          </w:p>
        </w:tc>
        <w:tc>
          <w:tcPr>
            <w:tcW w:type="dxa" w:w="4838"/>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Expected observational or physical consequence</w:t>
            </w:r>
          </w:p>
        </w:tc>
        <w:tc>
          <w:tcPr>
            <w:tcW w:type="dxa" w:w="18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Source</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Universal Centrality Rule</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Every settled galaxy should possess a primary black hole or dominant gravitational vortex at its dynamical centre. A settled galaxy lacking the primary central object would falsify the hypothesis.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P6/P28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Rotational entrainment saturation</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DDR enhancement should saturate, not grow without bound with galaxy or cluster rotation.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Large-system enhancement floor</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Large coherent systems should retain a non-zero enhancement floor, approximately 14-20% in the P26 analysis.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Low-baryonic-support enhancement</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Low-baryonic-support systems should show substantially larger Spaticle field enhancement, reaching about 50-60% in the P26 sample.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Cluster-versus-field differential floor</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Mass-matched galaxies embedded in rich clusters should show a higher enhancement floor than comparable isolated field galaxies if nested-domain reinforcement operates.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Rotational sustenance threshold</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Compact seed cores formed through collapse or explosive release should persist only when surrounding matter provides sufficient rotational coherence.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Isolated seed dissipation</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Seed cores formed in sparse environments below the Rotational Sustenance Threshold, such as isolated field supernovae, should not leave persistent compact objects. The persistence rate of compact objects should correlate strongly with environments whose surrounding matter density exceeds the threshold.</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Antihydrogen gravitational behaviour</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Antihydrogen should fall under gravity identically to ordinary hydrogen.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Stable antimatter-domain prediction</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Ordinary formation conditions should not produce macroscopic stable antimatter domains.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Complete matter-antimatter cancellation</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Matter and antimatter configurations should annihilate through cancellation of the opposing substrate topologies.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P16/P16A</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11</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Maintained CMB equilibrium</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CMB should be continuously maintained as a thermal-equilibrium radiation field, not require a relic origin from a finite-age event.</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12</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Cosmic redshift without substrate expansion</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Cosmic redshift should be explainable through source-observer dynamics and photon propagation through a static substrate.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13</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Observer-bulk-flow signature</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Apparent cosmic acceleration should correlate with observer motion and directional sampling effects without requiring a separate dark-energy component.</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14</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Lyman-alpha interpretation</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rise in Gunn-Peterson/Lyman-alpha opacity should admit a substrate absorption/percolation interpretation without uniquely requiring an expanding-universe interpretation.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P11</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15</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ISW interpretation</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Observed ISW temperature correlations should admit local Spaticle field temperature variations as a physical contribution.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16</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S8 redshift trend</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Rotational suppression should be stronger at low redshift and diminish toward high redshift in the P13 proof-of-concept framework.</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17</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S8 analysis sensitivity</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Recovered S8 should vary materially under defensible choices of scale cuts, tomography, covariance, intrinsic-alignment model, and sky coverage, even for the same underlying synthetic shear field.</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18</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Finite-core compact objects</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Compact objects should possess finite organised compression cores, with the macroscopic mapping testable by future observations.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19</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No physical singularity</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Observations of compact objects should not require a physically realised infinite-density singularity.</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P6/P26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20</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Information retained in compact objects</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compact-object dynamics should retain information in organised substrate deformation and permit outward carrier relaxation.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21</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No separate dark-matter particle requirement</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Galaxy and lensing anomalies should be reproducible through organised Spaticle field deformation without introducing a dark-matter particle.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P18/P25/P78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22</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Merger-morphology test</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 interacting systems, substrate-associated gravitational effects should track the organised motion of the dominant galactic matter and respond to redistribution during the merger.</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23</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Low-dark-matter galaxy behaviour</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Systems such as DF2, DF4 and FCC224 should remain compatible with the stellar-mass-dominated line under the BFUT interpretation.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24</w:t>
            </w:r>
          </w:p>
        </w:tc>
        <w:tc>
          <w:tcPr>
            <w:tcW w:type="dxa" w:w="24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Cosmic-scale continuity</w:t>
            </w:r>
          </w:p>
        </w:tc>
        <w:tc>
          <w:tcPr>
            <w:tcW w:type="dxa" w:w="48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same Spaticle field should support a continuous hierarchy from microscopic condensations through galactic and cosmological structures.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P14/P16/P18</w:t>
            </w:r>
          </w:p>
        </w:tc>
      </w:tr>
    </w:tbl>
    <w:p>
      <w:pPr>
        <w:spacing w:after="120"/>
      </w:pPr>
    </w:p>
    <w:p>
      <w:pPr>
        <w:pStyle w:val="Heading1"/>
        <w:pageBreakBefore/>
        <w:spacing w:after="200" w:before="0"/>
      </w:pPr>
      <w:r>
        <w:rPr>
          <w:rFonts w:ascii="Arial" w:cs="Arial" w:eastAsia="Arial" w:hAnsi="Arial"/>
          <w:b/>
          <w:bCs/>
          <w:color w:val="1F3864"/>
          <w:sz w:val="30"/>
          <w:szCs w:val="30"/>
        </w:rPr>
        <w:t xml:space="preserve">Appendix D: Resolutions of Standard Model and ΛCDM Tensions</w:t>
      </w:r>
    </w:p>
    <w:p>
      <w:pPr>
        <w:spacing w:after="140" w:line="290"/>
        <w:jc w:val="both"/>
      </w:pPr>
      <w:r>
        <w:rPr>
          <w:rFonts w:ascii="Arial" w:cs="Arial" w:eastAsia="Arial" w:hAnsi="Arial"/>
          <w:sz w:val="21"/>
          <w:szCs w:val="21"/>
        </w:rPr>
        <w:t xml:space="preserve">Every unresolved tension in the standard cosmological model is a place where the data has been telling us something for years, and the framework in place has had to be adjusted to keep hearing it as noise.</w:t>
      </w:r>
    </w:p>
    <w:p>
      <w:pPr>
        <w:spacing w:after="140" w:line="290"/>
        <w:jc w:val="both"/>
      </w:pPr>
      <w:r>
        <w:rPr>
          <w:rFonts w:ascii="Arial" w:cs="Arial" w:eastAsia="Arial" w:hAnsi="Arial"/>
          <w:sz w:val="21"/>
          <w:szCs w:val="21"/>
        </w:rPr>
        <w:t xml:space="preserve">This appendix lists those tensions and what the Spaticle field account does with each one, again in two parts: the resolutions that come with mathematics, and the ones that are structural.</w:t>
      </w:r>
    </w:p>
    <w:p>
      <w:pPr>
        <w:spacing w:after="140" w:line="290"/>
        <w:jc w:val="both"/>
      </w:pPr>
      <w:r>
        <w:rPr>
          <w:rFonts w:ascii="Arial" w:cs="Arial" w:eastAsia="Arial" w:hAnsi="Arial"/>
          <w:sz w:val="21"/>
          <w:szCs w:val="21"/>
        </w:rPr>
        <w:t xml:space="preserve">I have not listed a tension here unless it is acknowledged in the mainstream literature. The disagreement is about the resolution, not about whether the problem exists.</w:t>
      </w:r>
    </w:p>
    <w:p>
      <w:pPr>
        <w:pStyle w:val="Heading2"/>
        <w:spacing w:after="140" w:before="260"/>
      </w:pPr>
      <w:r>
        <w:rPr>
          <w:rFonts w:ascii="Arial" w:cs="Arial" w:eastAsia="Arial" w:hAnsi="Arial"/>
          <w:b/>
          <w:bCs/>
          <w:color w:val="2E5496"/>
          <w:sz w:val="24"/>
          <w:szCs w:val="24"/>
        </w:rPr>
        <w:t xml:space="preserve">1. Mathematical Resolutions of ΛCDM Tensions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2300"/>
        <w:gridCol w:w="4938"/>
        <w:gridCol w:w="1800"/>
      </w:tblGrid>
      <w:tr>
        <w:trPr>
          <w:cantSplit/>
          <w:tblHeader/>
        </w:trPr>
        <w:tc>
          <w:tcPr>
            <w:tcW w:type="dxa" w:w="6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No.</w:t>
            </w:r>
          </w:p>
        </w:tc>
        <w:tc>
          <w:tcPr>
            <w:tcW w:type="dxa" w:w="23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Tension</w:t>
            </w:r>
          </w:p>
        </w:tc>
        <w:tc>
          <w:tcPr>
            <w:tcW w:type="dxa" w:w="4938"/>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BFUT mathematical treatment</w:t>
            </w:r>
          </w:p>
        </w:tc>
        <w:tc>
          <w:tcPr>
            <w:tcW w:type="dxa" w:w="18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Source</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Cosmological constant problem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u_vac=ρₛc², with zero field modes contributing no physical condensation energy.</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QFT vacuum-energy discrepancy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One physical substrate replaces the multiple independent vacuum-field contributions used in the conventional sum, while unexcited modes carry no condensation energy.</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Seeliger paradox / divergent summed gravity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g_total=Σ_i g_i exp(−r/R_domain,i), giving finite contributions from finite deformation domains.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Infinite gravitational range</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R_d=[3M/(8πρₛ)]^(1/3) gives every source a finite deformation domain.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Galaxy missing gravity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Dark matter effects equation introduces the substrate-derived acceleration scale aₛ=c√(Gρₛ/3).</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P18/P25/P78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Deep-galaxy mass-velocity relation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v⁴≈GMaₛ follows from the low-acceleration dark matter effects equation limit.</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P18/P25/P78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Weak-lensing excess</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same dark matter effects equation and substrate scale are applied to the KiDS-1000 stacked lensing data.</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Dark-matter particle requirement</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additional gravitational response is represented by substrate deformation and entrainment, with no dark-matter particle parameter.</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P18/P25/P78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Proton-electron hierarchy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mₑ=mₚ/(6π⁵) provides a geometric mass relation.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Planck-constant origin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ℏ=mₚcrₚ/(πR₀) connects ℏ to the condensation geometry.</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Fine-structure constant</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α is linked to the BFUT condensation and ℏ derivation chain.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Strong-coupling geometric scale</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α_s is related to condensation geometry through α_s∝BR₀⁴/A.</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P19</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13</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Universal speed-limit origin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c=√(Kₛ/ρₛ), with Kₛ=ρₛc², identifies c with the substrate reorganisation limit.</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14</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GW/photon speed equality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Both are substrate disturbances and share the same maximum propagation rate c.</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15</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Relativistic time-dilation structure</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c²=v_internal²+v_grav²+v_spatial² and η=dτ/dt= c_s/c₀ provide a common propagation-budget description.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16</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Singularity divergence</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causal limit gives finite R_max=GM/c² and ρ̄_max=3c⁶/(4πG³M²), while the condensation functional excludes zero-radius condensation.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P16/P26</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17</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Quantum/classical regime connection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carrier-field formulation supplies a common substrate description whose settled limits reproduce the classical gravitational regime.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18</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S8 tension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Rotational-collapse suppression gives a 6.2% S8 deficit in the P13 proof-of-concept simulation.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19</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Hubble tension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replaces a single universal expansion interpretation with gravitational sorting and observer-dependent sampling; P1 reports r=0.675 for the sorting model.</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P1/P14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20</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Early-structure timing problem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An eternal substrate removes the finite-age formation constraint used in a finite-origin cosmology.</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P8/P14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Horizon problem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An infinite, eternal substrate removes the requirement that all observed regions were once in causal contact after a finite beginning.</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P5/P14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Flatness problem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Spatial infinitude removes the finite-origin curvature-dilution requirement associated with inflation.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P5/P14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23</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CMB temperature origin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T=(u_CMB c/(4σ))^(1/4) gives 2.725 K from the measured CMB energy density.</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24</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Cosmological acceleration / dark-energy interpretation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Observer bulk flow and gravitational sorting supply a mathematical route to apparent acceleration without a separate dark-energy term.</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25</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Lyman-alpha opacity rise</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effective covering factor C = λw, the absorber encounter rate per unit velocity interval times the effective absorption width, crosses the Absorption Percolation Threshold at order unity. Overlapping absorbers then collapse the transmitted flux nonlinearly, even when absorber density rises smoothly.</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P11</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26</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ISW anomaly interpretation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Local Spaticle field temperature variations supply a mathematical contribution to the observed ISW signal.</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P12</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27</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Galaxy-scale lensing and rotation consistency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same aₛ and substrate framework are used across SPARC rotation curves and KiDS-1000 lensing.</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28</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Finite-range correction to Newtonian gravity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exponential carrier solution gives g/g_N=e^(−x)(1+x), with x=r/R_eff, and approaches Newtonian gravity as x→0.</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w:t>
            </w:r>
          </w:p>
        </w:tc>
      </w:tr>
    </w:tbl>
    <w:p>
      <w:pPr>
        <w:spacing w:after="120"/>
      </w:pPr>
    </w:p>
    <w:p>
      <w:pPr>
        <w:pStyle w:val="Heading2"/>
        <w:spacing w:after="140" w:before="260"/>
      </w:pPr>
      <w:r>
        <w:rPr>
          <w:rFonts w:ascii="Arial" w:cs="Arial" w:eastAsia="Arial" w:hAnsi="Arial"/>
          <w:b/>
          <w:bCs/>
          <w:color w:val="2E5496"/>
          <w:sz w:val="24"/>
          <w:szCs w:val="24"/>
        </w:rPr>
        <w:t xml:space="preserve">2. Non-Mathematical Resolutions of ΛCDM Tensions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2300"/>
        <w:gridCol w:w="4938"/>
        <w:gridCol w:w="1800"/>
      </w:tblGrid>
      <w:tr>
        <w:trPr>
          <w:cantSplit/>
          <w:tblHeader/>
        </w:trPr>
        <w:tc>
          <w:tcPr>
            <w:tcW w:type="dxa" w:w="6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No.</w:t>
            </w:r>
          </w:p>
        </w:tc>
        <w:tc>
          <w:tcPr>
            <w:tcW w:type="dxa" w:w="23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Tension</w:t>
            </w:r>
          </w:p>
        </w:tc>
        <w:tc>
          <w:tcPr>
            <w:tcW w:type="dxa" w:w="4938"/>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BFUT non-mathematical treatment</w:t>
            </w:r>
          </w:p>
        </w:tc>
        <w:tc>
          <w:tcPr>
            <w:tcW w:type="dxa" w:w="18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Source</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Dark matter as a particle</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interprets the additional gravitational effect as organised substrate deformation and entrainment. The question becomes a gravitational-response problem, not a requirement for a new particle.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P18/P25/P78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Dark-energy requirement</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interprets apparent acceleration through observer bulk flow and gravitational sorting, without introducing a separate dark-energy component.</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P4/P14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Hubble tension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observed Hubble relation is treated as an emergent statistical property of gravitationally sorted matter. Different sampled populations can produce different inferred slopes.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P1/P14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Horizon problem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An infinite and eternal substrate does not require a finite-origin epoch in which distant regions were brought into causal contact.</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P5/P8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Flatness problem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Spatial infinitude removes the need for inflationary curvature dilution to explain a globally near-flat observable geometry.</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P5</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Early galaxy formation timing</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Structure can develop in an eternal universe with no fixed finite age measured from a Big Bang origin.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CMB relic interpretation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CMB is treated as dynamically maintained thermal equilibrium radiation continuously supplied by stellar processes.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P7</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Lithium problem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Steady-state nucleosynthesis in an ongoing stellar-processing universe supplies an alternative account of primordial lithium abundance.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S8 tension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Rotational support during structure formation reduces inferred clustering amplitude, while the lensing inference pipeline itself is shown to be model-sensitive.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Low-redshift versus CMB growth mismatch</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attributes the low-redshift suppression pattern to rotational structure dynamics and questions whether a single ΛCDM growth history is the unique interpretation.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S8 methodological sensitivity</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P13 simulations show that defensible analysis choices can shift or broaden recovered S8 while holding the underlying synthetic shear field fixed.</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Weak-lensing excess</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uses the same substrate-derived gravitational response that fits galaxy dynamics to interpret weak-lensing observations.</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13</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Ultra-diffuse and low-dark-matter galaxies</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These systems are treated as tests of the substrate-response model, including cases where the observed dynamics are close to the stellar component alone.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P25/P78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14</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Merger mass-distribution interpretation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Merger morphology is interpreted through redistribution and entrainment of substrate-associated gravitational response, allowing lensing and visible matter to be compared directly during interaction.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P78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15</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Cosmic redshift interpretation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Redshift is treated as a Doppler/gravitational-sorting effect through a static substrate, so photon propagation does not require stretching of the substrate itself.</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P1/P23</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16</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CMB and large-scale structure as separate relic epochs</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places them in one continuously existing substrate, with the CMB maintained dynamically and large-scale structures forming within the same persistent environment.</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P7/P8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17</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Black-hole singularity problem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retains the observed compact-object phenomena while interpreting the interior as finite organised substrate compression.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P6/P26/P28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18</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Black-hole information problem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finite-core, permeable-boundary picture provides a route for information to remain encoded in substrate deformation and to relax outward.</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19</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Hawking-radiation mechanism</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does not use the standard singularity-plus-event-horizon pair-creation mechanism; it substitutes finite carrier relaxation emission from the compressed substrate.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P26/P28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20</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Need for inflation as the unique early-universe solution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BFUT’s infinite, eternal substrate provides alternative explanations for horizon, flatness and early-structure timing without an inflationary origin event.</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P5/P8</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21</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Universal expansion as the only interpretation of cosmic acceleration</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treats directional observer motion and gravitational sorting as physical alternatives that can generate apparent acceleration.</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P4</w:t>
            </w:r>
          </w:p>
        </w:tc>
      </w:tr>
      <w:tr>
        <w:trPr>
          <w:cantSplit/>
          <w:tblHeader w:val="false"/>
        </w:trPr>
        <w:tc>
          <w:tcPr>
            <w:tcW w:type="dxa" w:w="6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22</w:t>
            </w:r>
          </w:p>
        </w:tc>
        <w:tc>
          <w:tcPr>
            <w:tcW w:type="dxa" w:w="2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Unique ΛCDM interpretation of low-redshift observables</w:t>
            </w:r>
          </w:p>
        </w:tc>
        <w:tc>
          <w:tcPr>
            <w:tcW w:type="dxa" w:w="493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BFUT argues that SZ, weak lensing, redshift-space distortions, ISW and related observables can have substrate-based interpretations that do not depend on one universal ΛCDM growth narrative.</w:t>
            </w:r>
          </w:p>
        </w:tc>
        <w:tc>
          <w:tcPr>
            <w:tcW w:type="dxa" w:w="18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P10/P12/P13</w:t>
            </w:r>
          </w:p>
        </w:tc>
      </w:tr>
    </w:tbl>
    <w:p>
      <w:pPr>
        <w:spacing w:after="120"/>
      </w:pPr>
    </w:p>
    <w:p>
      <w:pPr>
        <w:pStyle w:val="Heading1"/>
        <w:pageBreakBefore/>
        <w:spacing w:after="200" w:before="0"/>
      </w:pPr>
      <w:r>
        <w:rPr>
          <w:rFonts w:ascii="Arial" w:cs="Arial" w:eastAsia="Arial" w:hAnsi="Arial"/>
          <w:b/>
          <w:bCs/>
          <w:color w:val="1F3864"/>
          <w:sz w:val="30"/>
          <w:szCs w:val="30"/>
        </w:rPr>
        <w:t xml:space="preserve">Appendix E: Claims on Consciousness, Life and Spirit</w:t>
      </w:r>
    </w:p>
    <w:p>
      <w:pPr>
        <w:spacing w:after="140" w:line="290"/>
        <w:jc w:val="both"/>
      </w:pPr>
      <w:r>
        <w:rPr>
          <w:rFonts w:ascii="Arial" w:cs="Arial" w:eastAsia="Arial" w:hAnsi="Arial"/>
          <w:sz w:val="21"/>
          <w:szCs w:val="21"/>
        </w:rPr>
        <w:t xml:space="preserve">This appendix sets out the public claims of Papers 20 and 21 and of Layers 2, 3 and 5, each against the standard position, with the chapters of the novel where the claim appears. Layers 4 and 6 and Paper 24 are not listed. The Spaticle field is the name I give to the physical matter substrate.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20"/>
        <w:gridCol w:w="780"/>
        <w:gridCol w:w="1300"/>
        <w:gridCol w:w="2150"/>
        <w:gridCol w:w="3500"/>
        <w:gridCol w:w="1388"/>
      </w:tblGrid>
      <w:tr>
        <w:trPr>
          <w:cantSplit/>
          <w:tblHeader/>
        </w:trPr>
        <w:tc>
          <w:tcPr>
            <w:tcW w:type="dxa" w:w="52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No.</w:t>
            </w:r>
          </w:p>
        </w:tc>
        <w:tc>
          <w:tcPr>
            <w:tcW w:type="dxa" w:w="78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Source</w:t>
            </w:r>
          </w:p>
        </w:tc>
        <w:tc>
          <w:tcPr>
            <w:tcW w:type="dxa" w:w="13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Category</w:t>
            </w:r>
          </w:p>
        </w:tc>
        <w:tc>
          <w:tcPr>
            <w:tcW w:type="dxa" w:w="215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Standard position</w:t>
            </w:r>
          </w:p>
        </w:tc>
        <w:tc>
          <w:tcPr>
            <w:tcW w:type="dxa" w:w="3500"/>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The claim</w:t>
            </w:r>
          </w:p>
        </w:tc>
        <w:tc>
          <w:tcPr>
            <w:tcW w:type="dxa" w:w="1388"/>
            <w:tcBorders>
              <w:top w:val="single" w:color="9DB2C8" w:sz="4"/>
              <w:left w:val="single" w:color="9DB2C8" w:sz="4"/>
              <w:bottom w:val="single" w:color="9DB2C8" w:sz="4"/>
              <w:right w:val="single" w:color="9DB2C8" w:sz="4"/>
            </w:tcBorders>
            <w:shd w:fill="1F3864" w:color="auto" w:val="clear"/>
            <w:tcMar>
              <w:top w:type="dxa" w:w="50"/>
              <w:left w:type="dxa" w:w="80"/>
              <w:bottom w:type="dxa" w:w="50"/>
              <w:right w:type="dxa" w:w="80"/>
            </w:tcMar>
          </w:tcPr>
          <w:p>
            <w:pPr>
              <w:jc w:val="left"/>
            </w:pPr>
            <w:r>
              <w:rPr>
                <w:rFonts w:ascii="Arial" w:cs="Arial" w:eastAsia="Arial" w:hAnsi="Arial"/>
                <w:b/>
                <w:bCs/>
                <w:color w:val="FFFFFF"/>
                <w:sz w:val="17"/>
                <w:szCs w:val="17"/>
              </w:rPr>
              <w:t xml:space="preserve">Chapters</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Vijay's Law</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Life and consciousness emerge late, in brains or equivalent</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Life and consciousness are fundamental graded properties of organised matter. No physical system has zero consciousness. CI_floor &gt; 0.</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39, 40, 45</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Latency</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If a human-like report is absent, the property is absent</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Latency is allowed. The wrong instrument does not prove a zero.</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Continuity</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dead-to-alive phase change occurs at an unspecified biological threshold</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There is no material escape route from hydrogen to a human. The same substrate is present at every step.</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36, 39</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Composition</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whole may be conscious while every part is ontologically dead</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If the organism is conscious, its constituents cannot be treated as dead matter.</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39, 61, 74</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Differentiation</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Gene programmes output cell types with no tissue-level agency</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Differentiation is graded expansion of cooperative potential in already-conscious units.</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Colonial bodies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siphonophore is a metaphor for many separate organisms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Many living units form one coherent living system at macro scale.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 P20</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Xenobots / anthrobots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Unexpected morphogenesis without a completed theory of the goal</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Tissue-level agency is predicted. Novel collective bodies without a genomic rewrite are expected.</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39, 41, 45, 75, 76</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8</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Grafts and parasitic plants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Mechanical physiology only</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same tissue-level agency operates across plant individuals.</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9</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Hard emergence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Mind appears from non-conscious matter at a complexity cliff</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Hard emergence is rejected. There is no dead-to-alive jump in the substrate.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39, 40, 45</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10</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Atomic traces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Atoms show no interviewable mind, therefore no consciousness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That demand is the wrong instrument. Atomic channel capacity is not a human report.</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11</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Forces-only close-out</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complete force law leaves no remainder called consciousness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force law is the elementary form of sensing. Mechanism does not cancel the property.</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39, 40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12</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Life defined</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Life = an agreed biological checklist</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Life is organised matter persisting, sensing, and acting through substrate channels.</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13</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Stability / suspension / scale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Consciousness is on or off</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Observed degree is set jointly by organisational stability, reversible suspension, and integration scale.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14</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Tests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No protocol</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Stated tests: goal persistence after tissue rearrangement; graded drop under channel suppression; no zero-consciousness physical system. Monte Carlo perpetuation: graded drive out-persists inert ensembles under the same physics.</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15</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 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Primary engine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Random mutation plus selection is the primary engine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Primary engine is conscious drive exploiting opportunity fields. Mutation and selection are real and secondary.</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42, 73</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16</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Selection</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Selection is the creative force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Selection is a filter. It does not originate the directed strategies that then get filtered.</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17</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Retrospective templates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fitness story told after the fact is an explanation</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template that only fits afterwards is not a mechanism.</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18</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Inheritance of strategy</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Only genes carry evolutionary information</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Repeated strategy becomes inherited form. Intermediate viability is required and observed.</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19</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Extinction</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Extinction is the normal waste of a blind process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Extinction does not refute drive. Environmental breadth sets how many strategies remain viable.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20</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Parasites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Odd special cases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Multi-host, multi-stage programmes are the strongest evidence for drive. They are not credible as piled accidents.</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21</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Convergence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Similar niches produce similar forms by chance plus selection</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Convergence is expected when independent lineages meet the same opportunity field.</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22</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Predator-prey</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Arms races as sieve products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Both sides are driving. This is not a one-sided sieve.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23</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Pathogen change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Proof that only randomness operates, compressed in time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Real-time directed exploitation under pressure. Randomness is not the whole engine.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24</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Human origins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Unspecified primate sequence plus luck</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prediction of the opportunity-field principle, not a leftover miracle.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25</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L3</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Mutation burden</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random-only engine is computationally adequate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Long-horizon lineage stress tests show the random-only burden does not carry the observed load.</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26</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P20, 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Parent channels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Senses are biological inventions with no required physics parent</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Gravity, strong, EM, and weak are the elementary sensing channels. Every biological sense is an accessibility expansion of one of those four. No biological channel exists without its parent force.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39, 40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27</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P20</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Structural inclusion</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sense can exist without the force that makes it physically possible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No sense exists whose required force channel is absent. Demonstrations: photoreception, cochlear mechanics, immune recognition, interoception, biomineralisation.</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28</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P20</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Degradation floor</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Consciousness can be switched to zero while the system remains physical</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Channel suppression lowers CI. It does not take CI to zero.</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29</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 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What a human is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One organism; cells are parts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civilisation of already-living, already-conscious cells under one governance architecture.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61, 66, 76</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30</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Healing</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Biochemistry plus chance of repair</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Includes cell-directed reorganisation. Alignment of the civilisation changes outcomes. Protocol in L5 Appendix A, with cautions.</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66, 76</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31</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Intuition</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Noise or an unmodelled brain heuristic</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Distributed sensing across the cellular civilisation.</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76</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32</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Soul</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Immaterial particle, or a poetic name for the brain</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Layered functional continuity of organisation. Not a particle and not a single substance.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71, 74</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33</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One-soul feeling</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Either one soul-object or an illusion</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felt single soul is the governance layer of a multi-layer architecture.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66, 74, 76</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34</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 L2</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Death</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Annihilation of the person, or one extra-world afterlife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Organisational rupture of a particular assembly. Not annihilation of the underlying property.</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71, 74</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35</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Afterlife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Zero, or exactly one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Plural continuity: zero, one, or many, depending on which organisational layers persist.</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71</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36</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Disposal modes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Ritual only</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Cremation, burial, and ecological redistribution leave different residual organisation. That is physical, not only rite.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71</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37</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Qualified reorganisation</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Xenobots are a lab curiosity; reincarnation is one soul, one body</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Novel collective bodies from existing living units make qualified reorganisation ordinary. Traditional one-soul-one-body reincarnation is too crude. Continuity can split, fail, or re-enter at more than one grain.</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41, 71</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38</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Moksha</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Religious extra</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Logical possibility: release from a particular governance architecture.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73</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NDE, visions, ghosts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Hallucination only, or proof of a visiting person</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Mechanistic accounts inside layered continuity and distributed sensing. Not used as proof of doctrine and not dismissed as only error.</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71</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God</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Separate supernatural person, or nothing</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totality of the living substrate and its governance, not a second substance. Not a man, not a licence for cruelty, not a substitute for the papers. The word is retained.</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48, 55, 73</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41</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Heaven, hell, suffering</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Extra worlds, or no God</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Extra places are not required. Suffering is compatible with a substrate God because the substrate does not cancel local conflict.</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73</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42</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Prayer and folk practices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Petition to an external person, or all of it is false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Prayer is concentrated alignment of the civilisation. It can work when the theology is wrong. It has no automatic moral direction. Reiki, tarot, and astrology sometimes appear to work through attention and cell-level alignment. That does not validate their folklore machinery.</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73</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43</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Self and God</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Two substances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Not separate in substance. Distinct in organisational scale.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45, 55, 70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44</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L5</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What L5 closes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Left to religion or declared unscientific</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Sixteen long-standing questions are answered from Vijay's Law plus Layers 1-3. No new physical assumption. Falsifiable programme in L5 section 9.6.</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74</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45</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P20</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Sensing is physical coupling</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Sensing is left as biology or as psychology.</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Sensing is a state-change of the system produced by a physical channel. No sense exists without its parent force.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46</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P20</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Four parent channels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Four forces are unrelated to senses.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Gravity, strong, electromagnetic and weak are the parent channels. Biological senses are expansions of those four, not a fifth force.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39, 40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47</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P20</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Controlled versus forced response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Signal output is treated as one class.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Forced response and controlled response are distinct. Control depth is the difference. Degradation of structure lowers control toward the sensing floor; it does not create a zero.</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48</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P20</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Capability equation</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No equation links forces to what a body can sense or do.</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capability equation of P20 states what a structure can sense and do from the channels it actually has. Missing a parent channel closes every child sense of that channel.</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49</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Consciousness is a scalar</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Consciousness is treated as binary, or as unmeasurable, or as identical with reportable human experience.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Consciousness is a graded physical scalar. The Consciousness Index CI assigns a number to a system from structure that can be measured.</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50</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Two-level structure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single informal score, or no score.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CI = CI0 × S. CI0 is intrinsic capacity from size, channels, network integration and control depth. S is the survival factor, 0 &lt; S ≤ 1, and does not rewrite CI0.</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51</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Floor</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Inanimate matter is assigned zero consciousness.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CI_floor = 1 for any physical system that is matter. A system that is not matter has CI = 0 because it has no gravity channel and cannot access higher channels.</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52</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Human reference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No shared scale across species.</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Average human CI0 is anchored at 100. The same constants are then used from virus to orca and to higher-than-human configurations. They are not refitted per species.</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53</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Size factor Ω(V)</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Size is ignored, or treated as intelligence by brain mass alone.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Ω(V) is the size factor in CI0. Volume enters the formula as a defined structural term, not as a metaphor.</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54</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Channel capacity A</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Senses are listed without a parent-force law.</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Channel capacity A counts accessible sensing channels. A higher channel is closed unless its parent force-channel is present. That is the Hierarchical Channel Accessibility law from P20.</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39, 40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55</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Network integration N</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Integration is left qualitative, or identified with IIT Φ without a species table.</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 is network integration density. It is a defined multiplier in CI0 and is scored on the published species table.</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56</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Control depth K</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Control is not a term in a consciousness formula.</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K is control depth: autonomy, memory depth, adaptive flexibility. It is a defined multiplier in CI0.</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57</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Survival factor S</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Illness, injury or constraint are ignored, or treated as loss of the capacity itself.</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 lowers effective CI without changing CI0. A damaged or constrained system keeps its capacity number; the realised index falls.</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58</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Species range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Only humans, or only animals with cortex, are discussed.</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The published table runs from virus and tree-class systems through ordinary and higher human configurations. The same formula is offered for any further species without changing constants.</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40</w:t>
            </w:r>
          </w:p>
        </w:tc>
      </w:tr>
      <w:tr>
        <w:trPr>
          <w:cantSplit/>
          <w:tblHeader w:val="false"/>
        </w:trPr>
        <w:tc>
          <w:tcPr>
            <w:tcW w:type="dxa" w:w="52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59</w:t>
            </w:r>
          </w:p>
        </w:tc>
        <w:tc>
          <w:tcPr>
            <w:tcW w:type="dxa" w:w="78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P21, P20</w:t>
            </w:r>
          </w:p>
        </w:tc>
        <w:tc>
          <w:tcPr>
            <w:tcW w:type="dxa" w:w="13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No extra substance</w:t>
            </w:r>
          </w:p>
        </w:tc>
        <w:tc>
          <w:tcPr>
            <w:tcW w:type="dxa" w:w="215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A separate mind-stuff or an unexplained emergence jump.</w:t>
            </w:r>
          </w:p>
        </w:tc>
        <w:tc>
          <w:tcPr>
            <w:tcW w:type="dxa" w:w="3500"/>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CI is built from the same substrate and the same four force-channels as Layer 1. No second substance is added.</w:t>
            </w:r>
          </w:p>
        </w:tc>
        <w:tc>
          <w:tcPr>
            <w:tcW w:type="dxa" w:w="1388"/>
            <w:tcBorders>
              <w:top w:val="single" w:color="9DB2C8" w:sz="4"/>
              <w:left w:val="single" w:color="9DB2C8" w:sz="4"/>
              <w:bottom w:val="single" w:color="9DB2C8" w:sz="4"/>
              <w:right w:val="single" w:color="9DB2C8" w:sz="4"/>
            </w:tcBorders>
            <w:tcMar>
              <w:top w:type="dxa" w:w="50"/>
              <w:left w:type="dxa" w:w="80"/>
              <w:bottom w:type="dxa" w:w="50"/>
              <w:right w:type="dxa" w:w="80"/>
            </w:tcMar>
          </w:tcPr>
          <w:p>
            <w:pPr>
              <w:jc w:val="left"/>
            </w:pPr>
            <w:r>
              <w:rPr>
                <w:rFonts w:ascii="Arial" w:cs="Arial" w:eastAsia="Arial" w:hAnsi="Arial"/>
                <w:b w:val="false"/>
                <w:bCs w:val="false"/>
                <w:color w:val="000000"/>
                <w:sz w:val="17"/>
                <w:szCs w:val="17"/>
              </w:rPr>
              <w:t xml:space="preserve">39, 40, 73</w:t>
            </w:r>
          </w:p>
        </w:tc>
      </w:tr>
    </w:tbl>
    <w:p>
      <w:pPr>
        <w:spacing w:after="120"/>
      </w:pP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t xml:space="preserve">God’s Mystery Room - Appendices   |   Page </w:t>
    </w:r>
    <w:r>
      <w:rPr>
        <w:rFonts w:ascii="Arial" w:cs="Arial" w:eastAsia="Arial" w:hAnsi="Arial"/>
        <w:sz w:val="18"/>
        <w:szCs w:val="18"/>
      </w:rPr>
      <w:fldChar w:fldCharType="begin"/>
      <w:instrText xml:space="preserve">PAGE</w:instrText>
      <w:fldChar w:fldCharType="separate"/>
      <w:fldChar w:fldCharType="end"/>
    </w:r>
    <w:r>
      <w:rPr>
        <w:rFonts w:ascii="Arial" w:cs="Arial" w:eastAsia="Arial" w:hAnsi="Arial"/>
        <w:sz w:val="18"/>
        <w:szCs w:val="18"/>
      </w:rPr>
      <w:t xml:space="preserve"> of </w:t>
    </w:r>
    <w:r>
      <w:rPr>
        <w:rFonts w:ascii="Arial" w:cs="Arial" w:eastAsia="Arial" w:hAnsi="Arial"/>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outlineLvl w:val="0"/>
    </w:pPr>
    <w:rPr>
      <w:rFonts w:ascii="Arial" w:cs="Arial" w:eastAsia="Arial" w:hAnsi="Arial"/>
      <w:b/>
      <w:bCs/>
      <w:sz w:val="30"/>
      <w:szCs w:val="30"/>
    </w:rPr>
  </w:style>
  <w:style w:type="paragraph" w:styleId="Heading2">
    <w:name w:val="Heading 2"/>
    <w:basedOn w:val="Normal"/>
    <w:next w:val="Normal"/>
    <w:qFormat/>
    <w:pPr>
      <w:spacing w:after="140" w:before="260"/>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2026-10-07T12:49:26.252Z</dcterms:created>
  <dcterms:modified xsi:type="dcterms:W3CDTF">2026-10-07T12:49:26.252Z</dcterms:modified>
</cp:coreProperties>
</file>

<file path=docProps/custom.xml><?xml version="1.0" encoding="utf-8"?>
<Properties xmlns="http://schemas.openxmlformats.org/officeDocument/2006/custom-properties" xmlns:vt="http://schemas.openxmlformats.org/officeDocument/2006/docPropsVTypes"/>
</file>